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“众创空间食堂”</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“众创空间食堂”</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市众创空间</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约3080㎡。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40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4</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5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highlight w:val="none"/>
          <w:u w:val="single"/>
          <w:shd w:val="clear"/>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3000㎡以上的消防业绩）。业绩需满足以下2个条件：①近3年已完成一项经验收合格的类似规模的消防工程，提供合同、发票（原件扫描件），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2023年4月5日至2023年4月8日17:30止。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2.本项目设置最低下浮比例M（21%），若报价下浮≤21%为无效报价。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壹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“众创空间食堂项目消防工程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时间:2023年4月8日17时30分。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众创空间食堂项目消防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“众创空间食堂项目消防工程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“众创空间食堂项目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≤21%，且提供9%专票，报价后期不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2876"/>
      <w:bookmarkStart w:id="13" w:name="_Toc30813"/>
      <w:bookmarkStart w:id="14" w:name="_Toc2509"/>
      <w:bookmarkStart w:id="15" w:name="_Toc23981"/>
      <w:bookmarkStart w:id="16" w:name="_Toc14147"/>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7667"/>
      <w:bookmarkStart w:id="19" w:name="_Toc31950"/>
      <w:bookmarkStart w:id="20" w:name="_Toc12749"/>
      <w:bookmarkStart w:id="21" w:name="_Toc31659"/>
      <w:bookmarkStart w:id="22" w:name="_Toc23445"/>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515"/>
      <w:bookmarkStart w:id="24" w:name="_Toc9234"/>
      <w:bookmarkStart w:id="25" w:name="_Toc23406"/>
      <w:bookmarkStart w:id="26" w:name="_Toc24950"/>
      <w:bookmarkStart w:id="27" w:name="_Toc6331"/>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32221"/>
      <w:bookmarkStart w:id="30" w:name="_Toc16742"/>
      <w:bookmarkStart w:id="31" w:name="_Toc22403"/>
      <w:bookmarkStart w:id="32" w:name="_Toc12086"/>
      <w:bookmarkStart w:id="33" w:name="_Toc15910"/>
      <w:bookmarkStart w:id="34" w:name="_Toc114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64"/>
      <w:bookmarkStart w:id="36" w:name="_Toc28379"/>
      <w:bookmarkStart w:id="37" w:name="_Toc25921"/>
      <w:bookmarkStart w:id="38" w:name="_Toc29993"/>
      <w:bookmarkStart w:id="39" w:name="_Toc27064"/>
      <w:bookmarkStart w:id="40" w:name="_Toc113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“众创空间食堂项目消防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“众创空间食堂”项目“消防工程”施工合同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众创空间食堂”项目“消防工程”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众创空间食堂项目消防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众创空间</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约3080㎡</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1.4承包</w:t>
      </w:r>
      <w:r>
        <w:rPr>
          <w:rFonts w:hint="eastAsia" w:ascii="仿宋" w:hAnsi="仿宋" w:eastAsia="仿宋" w:cs="仿宋"/>
          <w:sz w:val="24"/>
          <w:szCs w:val="24"/>
          <w:u w:val="none"/>
          <w:lang w:val="en-US" w:eastAsia="zh-CN"/>
        </w:rPr>
        <w:t>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40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4</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2023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3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27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bCs/>
          <w:sz w:val="24"/>
          <w:highlight w:val="none"/>
          <w:u w:val="single"/>
          <w:lang w:val="en-US" w:eastAsia="zh-CN"/>
        </w:rPr>
        <w:t>按需要配置现场履职人员，</w:t>
      </w:r>
      <w:r>
        <w:rPr>
          <w:rFonts w:hint="eastAsia" w:ascii="仿宋" w:hAnsi="仿宋" w:eastAsia="仿宋" w:cs="仿宋"/>
          <w:sz w:val="24"/>
          <w:highlight w:val="none"/>
          <w:u w:val="single"/>
          <w:lang w:val="en-US" w:eastAsia="zh-CN"/>
        </w:rPr>
        <w:t>不得低于以下标准，现场负责人1名、技术负责人1名、专职安全员1名、杂工1名，现场管理人员及施工员名单自进场之日起不得进行更换，每更换1人，承包人需向发包人支付违约金5000元。未按要求落实的，发包人按履职人员市场行情工资扣减承包人工程款。</w:t>
      </w:r>
      <w:bookmarkStart w:id="48" w:name="_GoBack"/>
      <w:bookmarkEnd w:id="4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众创空间食堂项目消防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496A3F-E906-403F-B4C5-AEE2C9182CAF}"/>
  </w:font>
  <w:font w:name="仿宋">
    <w:panose1 w:val="02010609060101010101"/>
    <w:charset w:val="86"/>
    <w:family w:val="modern"/>
    <w:pitch w:val="default"/>
    <w:sig w:usb0="800002BF" w:usb1="38CF7CFA" w:usb2="00000016" w:usb3="00000000" w:csb0="00040001" w:csb1="00000000"/>
    <w:embedRegular r:id="rId2" w:fontKey="{E1449DE6-743D-4A0C-B752-42A17DA27B19}"/>
  </w:font>
  <w:font w:name="楷体_GB2312">
    <w:panose1 w:val="02010609030101010101"/>
    <w:charset w:val="86"/>
    <w:family w:val="modern"/>
    <w:pitch w:val="default"/>
    <w:sig w:usb0="00000001" w:usb1="080E0000" w:usb2="00000000" w:usb3="00000000" w:csb0="00040000" w:csb1="00000000"/>
    <w:embedRegular r:id="rId3" w:fontKey="{48C68C43-47FA-4EE4-913A-87BC85313AAB}"/>
  </w:font>
  <w:font w:name="方正小标宋_GBK">
    <w:panose1 w:val="02000000000000000000"/>
    <w:charset w:val="86"/>
    <w:family w:val="auto"/>
    <w:pitch w:val="default"/>
    <w:sig w:usb0="A00002BF" w:usb1="38CF7CFA" w:usb2="00082016" w:usb3="00000000" w:csb0="00040001" w:csb1="00000000"/>
    <w:embedRegular r:id="rId4" w:fontKey="{8F72680D-4470-4629-9B38-4D8A86E090ED}"/>
  </w:font>
  <w:font w:name="仿宋_GB2312">
    <w:panose1 w:val="02010609030101010101"/>
    <w:charset w:val="86"/>
    <w:family w:val="modern"/>
    <w:pitch w:val="default"/>
    <w:sig w:usb0="00000001" w:usb1="080E0000" w:usb2="00000000" w:usb3="00000000" w:csb0="00040000" w:csb1="00000000"/>
    <w:embedRegular r:id="rId5" w:fontKey="{0A76DE3B-1BA4-4319-8ED7-C852A7065F5F}"/>
  </w:font>
  <w:font w:name="微软雅黑">
    <w:panose1 w:val="020B0503020204020204"/>
    <w:charset w:val="86"/>
    <w:family w:val="swiss"/>
    <w:pitch w:val="default"/>
    <w:sig w:usb0="80000287" w:usb1="2ACF3C50" w:usb2="00000016" w:usb3="00000000" w:csb0="0004001F" w:csb1="00000000"/>
    <w:embedRegular r:id="rId6" w:fontKey="{F22ABE24-489E-44CD-B849-75D173288FF1}"/>
  </w:font>
  <w:font w:name="楷体">
    <w:panose1 w:val="02010609060101010101"/>
    <w:charset w:val="86"/>
    <w:family w:val="auto"/>
    <w:pitch w:val="default"/>
    <w:sig w:usb0="800002BF" w:usb1="38CF7CFA" w:usb2="00000016" w:usb3="00000000" w:csb0="00040001" w:csb1="00000000"/>
    <w:embedRegular r:id="rId7" w:fontKey="{C8139488-E3F0-4E6B-AEAE-2F462B46FD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1646190"/>
    <w:rsid w:val="0194261F"/>
    <w:rsid w:val="024261A6"/>
    <w:rsid w:val="03100197"/>
    <w:rsid w:val="0311684A"/>
    <w:rsid w:val="039D17D2"/>
    <w:rsid w:val="05972365"/>
    <w:rsid w:val="05CE68E2"/>
    <w:rsid w:val="06994177"/>
    <w:rsid w:val="0A870BFA"/>
    <w:rsid w:val="0BFF32DC"/>
    <w:rsid w:val="0F0D1E49"/>
    <w:rsid w:val="0F17035E"/>
    <w:rsid w:val="0F787C1A"/>
    <w:rsid w:val="100F22F6"/>
    <w:rsid w:val="1255077A"/>
    <w:rsid w:val="14A92A2D"/>
    <w:rsid w:val="15456FE5"/>
    <w:rsid w:val="16161D88"/>
    <w:rsid w:val="16985F3D"/>
    <w:rsid w:val="181923E2"/>
    <w:rsid w:val="1C590F97"/>
    <w:rsid w:val="1C942272"/>
    <w:rsid w:val="1CA40A88"/>
    <w:rsid w:val="1D192024"/>
    <w:rsid w:val="1F2C6073"/>
    <w:rsid w:val="1F443243"/>
    <w:rsid w:val="1F844373"/>
    <w:rsid w:val="23E53C5E"/>
    <w:rsid w:val="284D22E2"/>
    <w:rsid w:val="28687B8A"/>
    <w:rsid w:val="286A1161"/>
    <w:rsid w:val="2A2642CD"/>
    <w:rsid w:val="2CE85E16"/>
    <w:rsid w:val="30F32296"/>
    <w:rsid w:val="31782BAD"/>
    <w:rsid w:val="32BC3287"/>
    <w:rsid w:val="32F82ED5"/>
    <w:rsid w:val="345D5BB2"/>
    <w:rsid w:val="360016DD"/>
    <w:rsid w:val="36814250"/>
    <w:rsid w:val="37BE581C"/>
    <w:rsid w:val="38A5475A"/>
    <w:rsid w:val="39C24EFB"/>
    <w:rsid w:val="3C4B11D8"/>
    <w:rsid w:val="3CA77E10"/>
    <w:rsid w:val="3DCB25D0"/>
    <w:rsid w:val="3E2F29B2"/>
    <w:rsid w:val="3F6816DC"/>
    <w:rsid w:val="3FF027C2"/>
    <w:rsid w:val="40A10B28"/>
    <w:rsid w:val="40D25EF6"/>
    <w:rsid w:val="422F6EA6"/>
    <w:rsid w:val="448E789F"/>
    <w:rsid w:val="46946825"/>
    <w:rsid w:val="46BB18C2"/>
    <w:rsid w:val="492E63EC"/>
    <w:rsid w:val="49D15412"/>
    <w:rsid w:val="4B1062C6"/>
    <w:rsid w:val="4B9007C4"/>
    <w:rsid w:val="55265E83"/>
    <w:rsid w:val="55870413"/>
    <w:rsid w:val="559B2D78"/>
    <w:rsid w:val="563D0C43"/>
    <w:rsid w:val="57852491"/>
    <w:rsid w:val="5B1C6802"/>
    <w:rsid w:val="5C28180B"/>
    <w:rsid w:val="5CEC5C67"/>
    <w:rsid w:val="5F4303F9"/>
    <w:rsid w:val="615564D1"/>
    <w:rsid w:val="6291178B"/>
    <w:rsid w:val="6310228A"/>
    <w:rsid w:val="63696264"/>
    <w:rsid w:val="65CF79D7"/>
    <w:rsid w:val="65E64340"/>
    <w:rsid w:val="66A01F9C"/>
    <w:rsid w:val="66BA222A"/>
    <w:rsid w:val="679661B2"/>
    <w:rsid w:val="6B105217"/>
    <w:rsid w:val="6BD6020E"/>
    <w:rsid w:val="6F292781"/>
    <w:rsid w:val="727A5D97"/>
    <w:rsid w:val="72F97B41"/>
    <w:rsid w:val="76E92DD1"/>
    <w:rsid w:val="78D01CF5"/>
    <w:rsid w:val="78E56B33"/>
    <w:rsid w:val="7A262905"/>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13226</Words>
  <Characters>13745</Characters>
  <Lines>0</Lines>
  <Paragraphs>0</Paragraphs>
  <TotalTime>8</TotalTime>
  <ScaleCrop>false</ScaleCrop>
  <LinksUpToDate>false</LinksUpToDate>
  <CharactersWithSpaces>16064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2023-04-05T12:12:18Z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180E2F1BAB9F41058094F9B34EBA0309_13</vt:lpwstr>
  </property>
</Properties>
</file>