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众创空间二期11#、12#、13#、14#厂房沥青道路摊铺</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众创空间二期11#、12#、13#、14#厂房沥青道路摊铺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赤壁市高新区。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沥青</w:t>
      </w:r>
      <w:r>
        <w:rPr>
          <w:rFonts w:hint="eastAsia" w:ascii="仿宋" w:hAnsi="仿宋" w:eastAsia="仿宋" w:cs="仿宋"/>
          <w:b w:val="0"/>
          <w:bCs w:val="0"/>
          <w:i w:val="0"/>
          <w:iCs w:val="0"/>
          <w:caps w:val="0"/>
          <w:color w:val="222222"/>
          <w:spacing w:val="8"/>
          <w:sz w:val="24"/>
          <w:szCs w:val="24"/>
          <w:u w:val="single"/>
          <w:shd w:val="clear" w:fill="FFFFFF"/>
          <w:lang w:val="en-US" w:eastAsia="zh-CN"/>
        </w:rPr>
        <w:t>面</w:t>
      </w:r>
      <w:r>
        <w:rPr>
          <w:rFonts w:hint="eastAsia" w:ascii="仿宋" w:hAnsi="仿宋" w:eastAsia="仿宋" w:cs="仿宋"/>
          <w:i w:val="0"/>
          <w:iCs w:val="0"/>
          <w:caps w:val="0"/>
          <w:color w:val="222222"/>
          <w:spacing w:val="8"/>
          <w:sz w:val="24"/>
          <w:szCs w:val="24"/>
          <w:u w:val="single"/>
          <w:shd w:val="clear" w:fill="FFFFFF"/>
          <w:lang w:val="en-US" w:eastAsia="zh-CN"/>
        </w:rPr>
        <w:t>积约25000㎡</w:t>
      </w:r>
      <w:r>
        <w:rPr>
          <w:rFonts w:hint="eastAsia" w:ascii="仿宋" w:hAnsi="仿宋" w:eastAsia="仿宋" w:cs="仿宋"/>
          <w:b w:val="0"/>
          <w:bCs w:val="0"/>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highlight w:val="none"/>
          <w:u w:val="single"/>
        </w:rPr>
        <w:t>①</w:t>
      </w:r>
      <w:r>
        <w:rPr>
          <w:rFonts w:hint="eastAsia" w:ascii="仿宋" w:hAnsi="仿宋" w:eastAsia="仿宋" w:cs="仿宋"/>
          <w:b w:val="0"/>
          <w:bCs w:val="0"/>
          <w:kern w:val="0"/>
          <w:sz w:val="24"/>
          <w:highlight w:val="none"/>
          <w:u w:val="single"/>
          <w:lang w:val="en-US" w:eastAsia="zh-CN"/>
        </w:rPr>
        <w:t>施工图纸范围内</w:t>
      </w:r>
      <w:r>
        <w:rPr>
          <w:rFonts w:hint="eastAsia" w:ascii="仿宋" w:hAnsi="仿宋" w:eastAsia="仿宋" w:cs="仿宋"/>
          <w:b w:val="0"/>
          <w:bCs w:val="0"/>
          <w:sz w:val="24"/>
          <w:szCs w:val="24"/>
          <w:highlight w:val="none"/>
          <w:u w:val="single"/>
          <w:vertAlign w:val="baseline"/>
          <w:lang w:val="en-US" w:eastAsia="zh-CN"/>
        </w:rPr>
        <w:t>30厚PAC-13C型细粒型透水沥青混凝土，粘层油（PC-3型改性乳化沥青），50厚PAC-20C型中粒式透水沥青混凝土，0.6cm稀浆封层ES-2型</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kern w:val="0"/>
          <w:sz w:val="24"/>
          <w:highlight w:val="none"/>
          <w:u w:val="single"/>
        </w:rPr>
        <w:t>②</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③</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；④</w:t>
      </w:r>
      <w:r>
        <w:rPr>
          <w:rFonts w:hint="eastAsia" w:ascii="仿宋" w:hAnsi="仿宋" w:eastAsia="仿宋" w:cs="仿宋"/>
          <w:sz w:val="24"/>
          <w:highlight w:val="none"/>
          <w:u w:val="single"/>
          <w:lang w:val="en-US" w:eastAsia="zh-CN"/>
        </w:rPr>
        <w:t>合同承包范围的事项不得发生任何杂工费用由甲方承担；</w:t>
      </w:r>
      <w:r>
        <w:rPr>
          <w:rFonts w:hint="eastAsia" w:ascii="仿宋" w:hAnsi="仿宋" w:eastAsia="仿宋" w:cs="仿宋"/>
          <w:kern w:val="0"/>
          <w:sz w:val="24"/>
          <w:szCs w:val="24"/>
          <w:u w:val="single"/>
          <w:lang w:val="en-US" w:eastAsia="zh-CN"/>
        </w:rPr>
        <w:t>⑤</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清扫；⑥施工以图审施工蓝图及合同约定事项为依据，且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合同单价不再调整；⑦合同承包范围内的事项不得产生任何杂工费用由甲方承担；⑧发包人有权根据承包人现场施工质量、进度、安全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、现场文明施工等情况随时调整承包人的承包范围，且承包人应全力配合，需要承包人退场的，发包人按承包人已完成合格工程量办理结算，承包人不得提出其它任何索赔要求；⑨</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szCs w:val="24"/>
          <w:highlight w:val="none"/>
          <w:u w:val="single"/>
          <w:lang w:val="en-US" w:eastAsia="zh-CN"/>
        </w:rPr>
        <w:t>⑩报名人可自行实地踏勘。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详见施工合同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八、安全及现场文明施工要求：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合法有效的营业执照。（2）以个人报名的需提供个人身份证等证明资料。（3</w:t>
      </w:r>
      <w:bookmarkStart w:id="43" w:name="_GoBack"/>
      <w:bookmarkEnd w:id="43"/>
      <w:r>
        <w:rPr>
          <w:rFonts w:hint="eastAsia" w:ascii="仿宋" w:hAnsi="仿宋" w:eastAsia="仿宋" w:cs="仿宋"/>
          <w:b w:val="0"/>
          <w:bCs w:val="0"/>
          <w:color w:val="160B11"/>
          <w:sz w:val="24"/>
          <w:szCs w:val="24"/>
          <w:u w:val="single"/>
          <w:lang w:val="en-US" w:eastAsia="zh-CN"/>
        </w:rPr>
        <w:t>）</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2.现场人员要求：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2022年10月28日至2022年10月31日17:30止。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w:t>
      </w:r>
    </w:p>
    <w:tbl>
      <w:tblPr>
        <w:tblStyle w:val="9"/>
        <w:tblpPr w:leftFromText="180" w:rightFromText="180" w:vertAnchor="text" w:horzAnchor="page" w:tblpX="2147" w:tblpY="332"/>
        <w:tblOverlap w:val="never"/>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711"/>
        <w:gridCol w:w="175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0.6CM稀浆封层ES-2型</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5cm厚PAC-20C型中粒式透水沥青混凝土</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r>
              <w:rPr>
                <w:rFonts w:hint="eastAsia" w:ascii="仿宋" w:hAnsi="仿宋" w:eastAsia="仿宋" w:cs="仿宋"/>
                <w:b w:val="0"/>
                <w:bCs w:val="0"/>
                <w:kern w:val="0"/>
                <w:sz w:val="24"/>
                <w:szCs w:val="24"/>
                <w:lang w:val="en-US" w:eastAsia="zh-CN"/>
              </w:rPr>
              <w:t>cm</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3cm厚PAC-13C型细粒型透水沥青混凝土</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r>
              <w:rPr>
                <w:rFonts w:hint="eastAsia" w:ascii="仿宋" w:hAnsi="仿宋" w:eastAsia="仿宋" w:cs="仿宋"/>
                <w:b w:val="0"/>
                <w:bCs w:val="0"/>
                <w:kern w:val="0"/>
                <w:sz w:val="24"/>
                <w:szCs w:val="24"/>
                <w:lang w:val="en-US" w:eastAsia="zh-CN"/>
              </w:rPr>
              <w:t>cm</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13.5元/cm</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highlight w:val="none"/>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b/>
          <w:bCs/>
          <w:kern w:val="0"/>
          <w:sz w:val="24"/>
          <w:szCs w:val="24"/>
          <w:highlight w:val="none"/>
          <w:lang w:val="en-US" w:eastAsia="zh-CN"/>
        </w:rPr>
        <w:t>4.有效报价前3名可进入第二轮报价，入我司A库，后期项目同等条件下可优先参与。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lang w:val="en-US"/>
        </w:rPr>
      </w:pPr>
      <w:r>
        <w:rPr>
          <w:rFonts w:hint="eastAsia" w:ascii="仿宋" w:hAnsi="仿宋" w:eastAsia="仿宋" w:cs="仿宋"/>
          <w:b/>
          <w:bCs/>
          <w:i w:val="0"/>
          <w:iCs w:val="0"/>
          <w:caps w:val="0"/>
          <w:color w:val="333333"/>
          <w:spacing w:val="0"/>
          <w:sz w:val="24"/>
          <w:szCs w:val="24"/>
          <w:highlight w:val="yellow"/>
          <w:lang w:val="en-US" w:eastAsia="zh-CN"/>
        </w:rPr>
        <w:t>5.工程款支付方式：本项目无进度款，由承包人全垫资，发包人根据业主支付节点安排进度款。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 xml:space="preserve">众创空间二期11#、12#、13#、14#厂房沥青道路摊铺工程保证金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1" w:name="_Toc30463"/>
      <w:r>
        <w:rPr>
          <w:rFonts w:hint="eastAsia" w:ascii="仿宋" w:hAnsi="仿宋" w:eastAsia="仿宋" w:cs="仿宋"/>
          <w:b/>
          <w:bCs/>
          <w:kern w:val="0"/>
          <w:sz w:val="24"/>
          <w:szCs w:val="24"/>
          <w:lang w:val="en-US" w:eastAsia="zh-CN"/>
        </w:rPr>
        <w:t>十六、报名文件递交</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2022年10月31日17时30分。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2.施工能力佐证资料</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bookmarkStart w:id="2" w:name="_Toc21973"/>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both"/>
        <w:rPr>
          <w:rFonts w:hint="eastAsia" w:ascii="方正小标宋_GBK" w:hAnsi="方正小标宋_GBK" w:eastAsia="仿宋" w:cs="方正小标宋_GBK"/>
          <w:b/>
          <w:bCs/>
          <w:kern w:val="2"/>
          <w:sz w:val="32"/>
          <w:szCs w:val="32"/>
          <w:u w:val="single"/>
          <w:lang w:val="en-US" w:eastAsia="zh-CN" w:bidi="ar-SA"/>
        </w:rPr>
      </w:pPr>
      <w:r>
        <w:rPr>
          <w:rFonts w:hint="eastAsia" w:ascii="方正小标宋_GBK" w:hAnsi="方正小标宋_GBK" w:eastAsia="仿宋" w:cs="方正小标宋_GBK"/>
          <w:b/>
          <w:bCs/>
          <w:kern w:val="2"/>
          <w:sz w:val="32"/>
          <w:szCs w:val="32"/>
          <w:u w:val="single"/>
          <w:lang w:val="en-US" w:eastAsia="zh-CN" w:bidi="ar-SA"/>
        </w:rPr>
        <w:t>众创空间二期11#、12#、13#、14#厂房沥青道路摊铺项目</w:t>
      </w:r>
    </w:p>
    <w:p>
      <w:pPr>
        <w:pStyle w:val="2"/>
        <w:numPr>
          <w:ilvl w:val="0"/>
          <w:numId w:val="0"/>
        </w:numPr>
        <w:jc w:val="both"/>
        <w:rPr>
          <w:rFonts w:hint="eastAsia" w:ascii="方正小标宋_GBK" w:hAnsi="方正小标宋_GBK" w:eastAsia="仿宋" w:cs="方正小标宋_GBK"/>
          <w:b/>
          <w:bCs/>
          <w:sz w:val="32"/>
          <w:szCs w:val="32"/>
          <w:u w:val="none"/>
          <w:lang w:val="en-US" w:eastAsia="zh-CN"/>
        </w:rPr>
      </w:pP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2"/>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众创空间二期11#、12#、13#、14#厂房沥青道路摊铺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众创空间二期11#、12#、13#、14#厂房沥青道路摊铺项目</w:t>
      </w:r>
    </w:p>
    <w:tbl>
      <w:tblPr>
        <w:tblStyle w:val="9"/>
        <w:tblpPr w:leftFromText="180" w:rightFromText="180" w:vertAnchor="text" w:horzAnchor="page" w:tblpX="2147" w:tblpY="332"/>
        <w:tblOverlap w:val="never"/>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711"/>
        <w:gridCol w:w="175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0.6CM稀浆封层ES-2型</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5cm厚PAC-20C型中粒式透水沥青混凝土</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r>
              <w:rPr>
                <w:rFonts w:hint="eastAsia" w:ascii="仿宋" w:hAnsi="仿宋" w:eastAsia="仿宋" w:cs="仿宋"/>
                <w:b w:val="0"/>
                <w:bCs w:val="0"/>
                <w:kern w:val="0"/>
                <w:sz w:val="24"/>
                <w:szCs w:val="24"/>
                <w:lang w:val="en-US" w:eastAsia="zh-CN"/>
              </w:rPr>
              <w:t>cm</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71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3cm厚PAC-13C型细粒型透水沥青混凝土</w:t>
            </w:r>
          </w:p>
        </w:tc>
        <w:tc>
          <w:tcPr>
            <w:tcW w:w="17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r>
              <w:rPr>
                <w:rFonts w:hint="eastAsia" w:ascii="仿宋" w:hAnsi="仿宋" w:eastAsia="仿宋" w:cs="仿宋"/>
                <w:b w:val="0"/>
                <w:bCs w:val="0"/>
                <w:kern w:val="0"/>
                <w:sz w:val="24"/>
                <w:szCs w:val="24"/>
                <w:lang w:val="en-US" w:eastAsia="zh-CN"/>
              </w:rPr>
              <w:t>cm</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13.5元/cm</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3" w:name="_Toc1033"/>
      <w:bookmarkStart w:id="4"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5"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5"/>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6" w:name="_Toc14147"/>
      <w:bookmarkStart w:id="7" w:name="_Toc23981"/>
      <w:bookmarkStart w:id="8" w:name="_Toc2509"/>
      <w:bookmarkStart w:id="9" w:name="_Toc22876"/>
      <w:bookmarkStart w:id="10" w:name="_Toc30813"/>
      <w:bookmarkStart w:id="11" w:name="_Toc15385"/>
      <w:r>
        <w:rPr>
          <w:rFonts w:hint="eastAsia" w:ascii="仿宋" w:hAnsi="仿宋" w:eastAsia="仿宋" w:cs="仿宋"/>
          <w:b/>
          <w:bCs/>
          <w:color w:val="160B11"/>
          <w:sz w:val="28"/>
          <w:szCs w:val="28"/>
        </w:rPr>
        <w:t>1、项目进度计划表</w:t>
      </w:r>
      <w:bookmarkEnd w:id="6"/>
      <w:bookmarkEnd w:id="7"/>
      <w:bookmarkEnd w:id="8"/>
      <w:bookmarkEnd w:id="9"/>
      <w:bookmarkEnd w:id="10"/>
      <w:bookmarkEnd w:id="1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2" w:name="_Toc12749"/>
      <w:bookmarkStart w:id="13" w:name="_Toc12822"/>
      <w:bookmarkStart w:id="14" w:name="_Toc7667"/>
      <w:bookmarkStart w:id="15" w:name="_Toc31950"/>
      <w:bookmarkStart w:id="16" w:name="_Toc23445"/>
      <w:bookmarkStart w:id="17" w:name="_Toc31659"/>
      <w:r>
        <w:rPr>
          <w:rFonts w:hint="eastAsia" w:ascii="仿宋" w:hAnsi="仿宋" w:eastAsia="仿宋" w:cs="仿宋"/>
          <w:b/>
          <w:bCs/>
          <w:color w:val="160B11"/>
          <w:sz w:val="28"/>
          <w:szCs w:val="28"/>
        </w:rPr>
        <w:t>2、安全管理措施</w:t>
      </w:r>
      <w:bookmarkEnd w:id="12"/>
      <w:bookmarkEnd w:id="13"/>
      <w:bookmarkEnd w:id="14"/>
      <w:bookmarkEnd w:id="15"/>
      <w:bookmarkEnd w:id="16"/>
      <w:bookmarkEnd w:id="1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18" w:name="_Toc6331"/>
      <w:bookmarkStart w:id="19" w:name="_Toc23406"/>
      <w:bookmarkStart w:id="20" w:name="_Toc9234"/>
      <w:bookmarkStart w:id="21" w:name="_Toc24950"/>
      <w:bookmarkStart w:id="22" w:name="_Toc156"/>
      <w:bookmarkStart w:id="23" w:name="_Toc9515"/>
      <w:r>
        <w:rPr>
          <w:rFonts w:hint="eastAsia" w:ascii="仿宋" w:hAnsi="仿宋" w:eastAsia="仿宋" w:cs="仿宋"/>
          <w:b/>
          <w:bCs/>
          <w:color w:val="160B11"/>
          <w:sz w:val="28"/>
          <w:szCs w:val="28"/>
        </w:rPr>
        <w:t>3、质量管理措施</w:t>
      </w:r>
      <w:bookmarkEnd w:id="18"/>
      <w:bookmarkEnd w:id="19"/>
      <w:bookmarkEnd w:id="20"/>
      <w:bookmarkEnd w:id="21"/>
      <w:bookmarkEnd w:id="22"/>
      <w:bookmarkEnd w:id="2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4" w:name="_Toc22403"/>
      <w:bookmarkStart w:id="25" w:name="_Toc12086"/>
      <w:bookmarkStart w:id="26" w:name="_Toc16742"/>
      <w:bookmarkStart w:id="27" w:name="_Toc15910"/>
      <w:bookmarkStart w:id="28" w:name="_Toc1146"/>
      <w:bookmarkStart w:id="29" w:name="_Toc32221"/>
      <w:r>
        <w:rPr>
          <w:rFonts w:hint="eastAsia" w:ascii="仿宋" w:hAnsi="仿宋" w:eastAsia="仿宋" w:cs="仿宋"/>
          <w:b/>
          <w:bCs/>
          <w:color w:val="160B11"/>
          <w:sz w:val="28"/>
          <w:szCs w:val="28"/>
        </w:rPr>
        <w:t>4、文明施工管理措施</w:t>
      </w:r>
      <w:bookmarkEnd w:id="24"/>
      <w:bookmarkEnd w:id="25"/>
      <w:bookmarkEnd w:id="26"/>
      <w:bookmarkEnd w:id="27"/>
      <w:bookmarkEnd w:id="28"/>
      <w:bookmarkEnd w:id="2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0" w:name="_Toc64"/>
      <w:bookmarkStart w:id="31" w:name="_Toc28379"/>
      <w:bookmarkStart w:id="32" w:name="_Toc25921"/>
      <w:bookmarkStart w:id="33" w:name="_Toc27064"/>
      <w:bookmarkStart w:id="34" w:name="_Toc1134"/>
      <w:bookmarkStart w:id="35" w:name="_Toc29993"/>
      <w:r>
        <w:rPr>
          <w:rFonts w:hint="eastAsia" w:ascii="仿宋" w:hAnsi="仿宋" w:eastAsia="仿宋" w:cs="仿宋"/>
          <w:b/>
          <w:bCs/>
          <w:color w:val="160B11"/>
          <w:sz w:val="28"/>
          <w:szCs w:val="28"/>
        </w:rPr>
        <w:t>5、承接本工程的优势</w:t>
      </w:r>
      <w:bookmarkEnd w:id="30"/>
      <w:bookmarkEnd w:id="31"/>
      <w:bookmarkEnd w:id="32"/>
      <w:bookmarkEnd w:id="33"/>
      <w:bookmarkEnd w:id="34"/>
      <w:bookmarkEnd w:id="3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6" w:name="_Toc27987"/>
      <w:bookmarkStart w:id="37" w:name="_Toc15911"/>
      <w:r>
        <w:rPr>
          <w:rFonts w:hint="eastAsia" w:ascii="仿宋" w:hAnsi="仿宋" w:eastAsia="仿宋" w:cs="仿宋"/>
          <w:b/>
          <w:bCs/>
          <w:kern w:val="2"/>
          <w:sz w:val="24"/>
          <w:szCs w:val="24"/>
          <w:lang w:val="en-US" w:eastAsia="zh-CN" w:bidi="ar-SA"/>
        </w:rPr>
        <w:t>附件</w:t>
      </w:r>
      <w:bookmarkEnd w:id="36"/>
      <w:bookmarkEnd w:id="37"/>
      <w:bookmarkStart w:id="38" w:name="_Toc21285"/>
      <w:bookmarkStart w:id="39"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38"/>
      <w:bookmarkEnd w:id="39"/>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3"/>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众创空间二期11#、12#、13#、14#厂房沥青道路摊铺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0"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0"/>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众创空间二期11#、12#、13#、14#厂房沥青道路摊铺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众创空间二期11#、12#、13#、14#厂房沥青道路摊铺”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众创空间二期11#、12#、13#、14#厂房沥青道路摊铺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highlight w:val="none"/>
          <w:u w:val="single"/>
          <w:lang w:eastAsia="zh-CN"/>
        </w:rPr>
        <w:t>高新区</w:t>
      </w:r>
      <w:r>
        <w:rPr>
          <w:rFonts w:hint="eastAsia" w:ascii="仿宋" w:hAnsi="仿宋" w:eastAsia="仿宋" w:cs="仿宋"/>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b w:val="0"/>
          <w:bCs w:val="0"/>
          <w:kern w:val="0"/>
          <w:sz w:val="24"/>
          <w:highlight w:val="none"/>
          <w:u w:val="single"/>
        </w:rPr>
        <w:t>①</w:t>
      </w:r>
      <w:r>
        <w:rPr>
          <w:rFonts w:hint="eastAsia" w:ascii="仿宋" w:hAnsi="仿宋" w:eastAsia="仿宋" w:cs="仿宋"/>
          <w:b w:val="0"/>
          <w:bCs w:val="0"/>
          <w:kern w:val="0"/>
          <w:sz w:val="24"/>
          <w:highlight w:val="none"/>
          <w:u w:val="single"/>
          <w:lang w:val="en-US" w:eastAsia="zh-CN"/>
        </w:rPr>
        <w:t>施工图纸范围内</w:t>
      </w:r>
      <w:r>
        <w:rPr>
          <w:rFonts w:hint="eastAsia" w:ascii="仿宋" w:hAnsi="仿宋" w:eastAsia="仿宋" w:cs="仿宋"/>
          <w:b w:val="0"/>
          <w:bCs w:val="0"/>
          <w:sz w:val="24"/>
          <w:szCs w:val="24"/>
          <w:highlight w:val="none"/>
          <w:u w:val="single"/>
          <w:vertAlign w:val="baseline"/>
          <w:lang w:val="en-US" w:eastAsia="zh-CN"/>
        </w:rPr>
        <w:t>30厚PAC-13C型细粒型透水沥青混凝土，粘层油（PC-3型改性乳化沥青），50厚PAC-20C型中粒式透水沥青混凝土，0.6cm稀浆封层ES-2型</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kern w:val="0"/>
          <w:sz w:val="24"/>
          <w:highlight w:val="none"/>
          <w:u w:val="single"/>
        </w:rPr>
        <w:t>②</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③</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；④</w:t>
      </w:r>
      <w:r>
        <w:rPr>
          <w:rFonts w:hint="eastAsia" w:ascii="仿宋" w:hAnsi="仿宋" w:eastAsia="仿宋" w:cs="仿宋"/>
          <w:sz w:val="24"/>
          <w:highlight w:val="none"/>
          <w:u w:val="single"/>
          <w:lang w:val="en-US" w:eastAsia="zh-CN"/>
        </w:rPr>
        <w:t>合同承包范围的事项不得发生任何杂工费用由甲方承担；</w:t>
      </w:r>
      <w:r>
        <w:rPr>
          <w:rFonts w:hint="eastAsia" w:ascii="仿宋" w:hAnsi="仿宋" w:eastAsia="仿宋" w:cs="仿宋"/>
          <w:kern w:val="0"/>
          <w:sz w:val="24"/>
          <w:szCs w:val="24"/>
          <w:u w:val="single"/>
          <w:lang w:val="en-US" w:eastAsia="zh-CN"/>
        </w:rPr>
        <w:t>⑤</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清扫；⑥施工以图审施工蓝图及合同约定事项为依据，且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合同单价不再调整；⑦合同承包范围内的事项不得产生任何杂工费用由甲方承担；⑧发包人有权根据承包人现场施工质量、进度、安全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、现场文明施工等情况随时调整承包人的承包范围，且承包人应全力配合，需要承包人退场的，发包人按承包人已完成合格工程量办理结算，承包人不得提出其它任何索赔要求；⑨</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kern w:val="2"/>
          <w:sz w:val="24"/>
          <w:szCs w:val="24"/>
          <w:u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以固定含税综合单价包干（包含但不限于：人工、材料及与作业相关的机械设备、现场文明施工、安全防护、临时设施、办公费、税金等本工程所含的全部费用）。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包质量、包安全、包工期、包现场文明施工、包人工、包材料、包机械、包验收、包清扫、包税金等内容。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施工图纸范围内所有沥青道路摊铺工程施工内容及所有安全文明措施。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w:t>
      </w:r>
      <w:r>
        <w:rPr>
          <w:rFonts w:hint="eastAsia" w:ascii="仿宋" w:hAnsi="仿宋" w:eastAsia="仿宋" w:cs="仿宋"/>
          <w:b w:val="0"/>
          <w:bCs w:val="0"/>
          <w:sz w:val="24"/>
          <w:szCs w:val="24"/>
          <w:highlight w:val="none"/>
          <w:u w:val="none"/>
          <w:vertAlign w:val="baseline"/>
          <w:lang w:val="en-US" w:eastAsia="zh-CN"/>
        </w:rPr>
        <w:t>30厚PAC-13C型细粒型透水沥青混凝土</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sz w:val="24"/>
          <w:szCs w:val="24"/>
          <w:highlight w:val="none"/>
          <w:u w:val="none"/>
          <w:vertAlign w:val="baseline"/>
          <w:lang w:val="en-US" w:eastAsia="zh-CN"/>
        </w:rPr>
        <w:t>粘层油（PC-3型改性乳化沥青）</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r>
        <w:rPr>
          <w:rFonts w:hint="eastAsia" w:ascii="仿宋" w:hAnsi="仿宋" w:eastAsia="仿宋" w:cs="仿宋"/>
          <w:b w:val="0"/>
          <w:bCs w:val="0"/>
          <w:sz w:val="24"/>
          <w:szCs w:val="24"/>
          <w:highlight w:val="none"/>
          <w:u w:val="none"/>
          <w:vertAlign w:val="baseline"/>
          <w:lang w:val="en-US" w:eastAsia="zh-CN"/>
        </w:rPr>
        <w:t>50厚PAC-20C型中粒式透水沥青混凝土</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sz w:val="24"/>
          <w:szCs w:val="24"/>
          <w:highlight w:val="none"/>
          <w:u w:val="none"/>
          <w:vertAlign w:val="baseline"/>
          <w:lang w:val="en-US" w:eastAsia="zh-CN"/>
        </w:rPr>
        <w:t>0.6cm稀浆封层ES-2型一层</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3 </w:t>
      </w:r>
      <w:r>
        <w:rPr>
          <w:rFonts w:hint="eastAsia" w:ascii="仿宋" w:hAnsi="仿宋" w:eastAsia="仿宋" w:cs="仿宋"/>
          <w:b w:val="0"/>
          <w:bCs w:val="0"/>
          <w:sz w:val="24"/>
          <w:szCs w:val="24"/>
          <w:u w:val="none"/>
          <w:lang w:val="en-US" w:eastAsia="zh-CN"/>
        </w:rPr>
        <w:t>%增值税专用发票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1" w:name="bookmark10"/>
      <w:bookmarkEnd w:id="41"/>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2" w:name="bookmark11"/>
      <w:bookmarkEnd w:id="42"/>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6.2</w:t>
      </w:r>
      <w:r>
        <w:rPr>
          <w:rFonts w:hint="eastAsia" w:ascii="仿宋" w:hAnsi="仿宋" w:eastAsia="仿宋" w:cs="仿宋"/>
          <w:sz w:val="24"/>
          <w:szCs w:val="24"/>
          <w:lang w:val="en-US" w:eastAsia="zh-CN"/>
        </w:rPr>
        <w:t>工期不因任何因素作出调整，包括但不限于：天气等原因。</w:t>
      </w:r>
    </w:p>
    <w:p>
      <w:pPr>
        <w:spacing w:line="360" w:lineRule="auto"/>
        <w:ind w:firstLine="480" w:firstLineChars="200"/>
        <w:rPr>
          <w:rFonts w:hint="default" w:ascii="仿宋" w:hAnsi="仿宋" w:eastAsia="仿宋" w:cs="仿宋"/>
          <w:b w:val="0"/>
          <w:bCs w:val="0"/>
          <w:kern w:val="0"/>
          <w:sz w:val="24"/>
          <w:szCs w:val="24"/>
          <w:highlight w:val="none"/>
          <w:u w:val="none"/>
          <w:lang w:val="en-US"/>
        </w:rPr>
      </w:pPr>
      <w:r>
        <w:rPr>
          <w:rFonts w:hint="eastAsia" w:ascii="仿宋" w:hAnsi="仿宋" w:eastAsia="仿宋" w:cs="仿宋"/>
          <w:sz w:val="24"/>
          <w:szCs w:val="24"/>
          <w:lang w:val="en-US" w:eastAsia="zh-CN"/>
        </w:rPr>
        <w:t>6.3为确保在约定工期内完工，乙方必须分两班倒作业，未按要求落实的，视为乙方违约，每天承担5000元的违约责任。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6.4</w:t>
      </w:r>
      <w:r>
        <w:rPr>
          <w:rFonts w:hint="eastAsia" w:ascii="仿宋" w:hAnsi="仿宋" w:eastAsia="仿宋" w:cs="仿宋"/>
          <w:b/>
          <w:bCs/>
          <w:color w:val="160B11"/>
          <w:sz w:val="24"/>
          <w:szCs w:val="24"/>
          <w:lang w:val="en-US" w:eastAsia="zh-CN"/>
        </w:rPr>
        <w:t>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b/>
          <w:bCs/>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b/>
          <w:bCs/>
          <w:sz w:val="24"/>
          <w:szCs w:val="24"/>
          <w:u w:val="single"/>
          <w:lang w:val="en-US" w:eastAsia="zh-CN"/>
        </w:rPr>
        <w:t>发包人根据业主支付节点安排进度款。</w:t>
      </w:r>
      <w:r>
        <w:rPr>
          <w:rFonts w:hint="eastAsia" w:ascii="仿宋" w:hAnsi="仿宋" w:eastAsia="仿宋" w:cs="仿宋"/>
          <w:sz w:val="24"/>
          <w:szCs w:val="24"/>
          <w:u w:val="single"/>
          <w:lang w:val="en-US" w:eastAsia="zh-CN"/>
        </w:rPr>
        <w:t>审计完成，甲方支付工程款比例不超过工程总价的40%；</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乙方人员在施工中</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众创空间二期11#、12#、13#、14#厂房沥青道路摊铺工程施工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E0971F-62B9-49E2-A9A7-72F375C5D84B}"/>
  </w:font>
  <w:font w:name="楷体_GB2312">
    <w:panose1 w:val="02010609030101010101"/>
    <w:charset w:val="86"/>
    <w:family w:val="modern"/>
    <w:pitch w:val="default"/>
    <w:sig w:usb0="00000001" w:usb1="080E0000" w:usb2="00000000" w:usb3="00000000" w:csb0="00040000" w:csb1="00000000"/>
    <w:embedRegular r:id="rId2" w:fontKey="{38A26837-B7B1-4CDD-9673-D189A0EF2BEC}"/>
  </w:font>
  <w:font w:name="仿宋">
    <w:panose1 w:val="02010609060101010101"/>
    <w:charset w:val="86"/>
    <w:family w:val="modern"/>
    <w:pitch w:val="default"/>
    <w:sig w:usb0="800002BF" w:usb1="38CF7CFA" w:usb2="00000016" w:usb3="00000000" w:csb0="00040001" w:csb1="00000000"/>
    <w:embedRegular r:id="rId3" w:fontKey="{46AFE1BC-55F1-4AD7-A7ED-70DB0D0CBEF4}"/>
  </w:font>
  <w:font w:name="仿宋_GB2312">
    <w:panose1 w:val="02010609030101010101"/>
    <w:charset w:val="86"/>
    <w:family w:val="modern"/>
    <w:pitch w:val="default"/>
    <w:sig w:usb0="00000001" w:usb1="080E0000" w:usb2="00000000" w:usb3="00000000" w:csb0="00040000" w:csb1="00000000"/>
    <w:embedRegular r:id="rId4" w:fontKey="{E22E1A69-C331-4319-97A6-869DA9035FA2}"/>
  </w:font>
  <w:font w:name="方正小标宋_GBK">
    <w:panose1 w:val="02000000000000000000"/>
    <w:charset w:val="86"/>
    <w:family w:val="auto"/>
    <w:pitch w:val="default"/>
    <w:sig w:usb0="A00002BF" w:usb1="38CF7CFA" w:usb2="00082016" w:usb3="00000000" w:csb0="00040001" w:csb1="00000000"/>
    <w:embedRegular r:id="rId5" w:fontKey="{43068CE4-AFA0-4C2F-8B49-34836651F1DF}"/>
  </w:font>
  <w:font w:name="微软雅黑">
    <w:panose1 w:val="020B0503020204020204"/>
    <w:charset w:val="86"/>
    <w:family w:val="swiss"/>
    <w:pitch w:val="default"/>
    <w:sig w:usb0="80000287" w:usb1="2ACF3C50" w:usb2="00000016" w:usb3="00000000" w:csb0="0004001F" w:csb1="00000000"/>
    <w:embedRegular r:id="rId6" w:fontKey="{AF1A0963-40FA-40B9-9C84-290E4EF97F49}"/>
  </w:font>
  <w:font w:name="楷体">
    <w:panose1 w:val="02010609060101010101"/>
    <w:charset w:val="86"/>
    <w:family w:val="auto"/>
    <w:pitch w:val="default"/>
    <w:sig w:usb0="800002BF" w:usb1="38CF7CFA" w:usb2="00000016" w:usb3="00000000" w:csb0="00040001" w:csb1="00000000"/>
    <w:embedRegular r:id="rId7" w:fontKey="{4FD91B86-81F5-4381-9395-40B05DA138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3431F70"/>
    <w:rsid w:val="04744926"/>
    <w:rsid w:val="04A4664F"/>
    <w:rsid w:val="052772D4"/>
    <w:rsid w:val="074E34A0"/>
    <w:rsid w:val="079B3670"/>
    <w:rsid w:val="087E39B5"/>
    <w:rsid w:val="08934B1E"/>
    <w:rsid w:val="09E26B1F"/>
    <w:rsid w:val="134E1672"/>
    <w:rsid w:val="1385580F"/>
    <w:rsid w:val="13F1336D"/>
    <w:rsid w:val="157649D1"/>
    <w:rsid w:val="17A741DB"/>
    <w:rsid w:val="1BB34EF0"/>
    <w:rsid w:val="25240D1A"/>
    <w:rsid w:val="2B277BC4"/>
    <w:rsid w:val="2E2876CC"/>
    <w:rsid w:val="3245269B"/>
    <w:rsid w:val="34EF3BDD"/>
    <w:rsid w:val="3747460D"/>
    <w:rsid w:val="3EB219E2"/>
    <w:rsid w:val="459874C1"/>
    <w:rsid w:val="47335E7F"/>
    <w:rsid w:val="4BE4477A"/>
    <w:rsid w:val="4EF56951"/>
    <w:rsid w:val="511D6907"/>
    <w:rsid w:val="53346A1D"/>
    <w:rsid w:val="54C51E5C"/>
    <w:rsid w:val="55781D05"/>
    <w:rsid w:val="569D579F"/>
    <w:rsid w:val="5A683513"/>
    <w:rsid w:val="5B3F01F8"/>
    <w:rsid w:val="5C06167C"/>
    <w:rsid w:val="60CB6DF2"/>
    <w:rsid w:val="62971E53"/>
    <w:rsid w:val="630476D9"/>
    <w:rsid w:val="66042274"/>
    <w:rsid w:val="66671615"/>
    <w:rsid w:val="67810B92"/>
    <w:rsid w:val="6BFE2079"/>
    <w:rsid w:val="6E815094"/>
    <w:rsid w:val="714F63AB"/>
    <w:rsid w:val="755574BB"/>
    <w:rsid w:val="78C83E25"/>
    <w:rsid w:val="7A25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13674</Words>
  <Characters>14432</Characters>
  <Lines>0</Lines>
  <Paragraphs>0</Paragraphs>
  <TotalTime>2</TotalTime>
  <ScaleCrop>false</ScaleCrop>
  <LinksUpToDate>false</LinksUpToDate>
  <CharactersWithSpaces>16701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Administrator</cp:lastModifiedBy>
  <dcterms:modified xsi:type="dcterms:W3CDTF">2022-10-29T06:51:07Z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9DE59AF113344A008B6242E59DE0A4EC</vt:lpwstr>
  </property>
</Properties>
</file>