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编号：CMGJZ-FCY-0</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2</w:t>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博伟˙翡翠苑</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bookmarkStart w:id="1" w:name="_Toc31855"/>
      <w:bookmarkStart w:id="2" w:name="_Toc18687"/>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博伟˙翡翠苑</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项目消防工程。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：赤壁大道与体育馆路交叉口西南侧。</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建筑面积约6800㎡，架空层不计面积。</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施工图纸范围内消防工程</w:t>
      </w:r>
      <w:r>
        <w:rPr>
          <w:rFonts w:hint="eastAsia" w:ascii="仿宋" w:hAnsi="仿宋" w:eastAsia="仿宋" w:cs="仿宋"/>
          <w:sz w:val="24"/>
          <w:szCs w:val="24"/>
          <w:u w:val="single"/>
          <w:lang w:val="en-US" w:eastAsia="zh-CN"/>
        </w:rPr>
        <w:t>及所有安全文明措施用工。</w:t>
      </w:r>
      <w:r>
        <w:rPr>
          <w:rFonts w:hint="eastAsia" w:ascii="仿宋" w:hAnsi="仿宋" w:eastAsia="仿宋" w:cs="仿宋"/>
          <w:kern w:val="0"/>
          <w:sz w:val="24"/>
          <w:szCs w:val="24"/>
          <w:u w:val="single"/>
          <w:lang w:val="en-US" w:eastAsia="zh-CN"/>
        </w:rPr>
        <w:t>包括但不限于：消火栓系统、喷淋系统、火灾报警及联动系统、稳压系统、通风系统、防排烟系统、防火卷帘系统。防火门工程由甲方负责，乙方配合验收。前期甲方已完成工程量部分所产生的相关费用由乙方承担。</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工程范围内的设备采购、材料采购、保管、安装、检测、系统集成联动调试、竣工图绘制、消防资料整理、归档、竣工移交、通过消防部门验收、质量维修和培训等。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r>
        <w:rPr>
          <w:rFonts w:hint="eastAsia" w:ascii="仿宋" w:hAnsi="仿宋" w:eastAsia="仿宋" w:cs="仿宋"/>
          <w:b/>
          <w:bCs/>
          <w:kern w:val="0"/>
          <w:sz w:val="24"/>
          <w:szCs w:val="24"/>
          <w:u w:val="none"/>
          <w:lang w:val="en-US" w:eastAsia="zh-CN"/>
        </w:rPr>
        <w:t>详见消防施工合同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开工</w:t>
      </w:r>
      <w:r>
        <w:rPr>
          <w:rFonts w:hint="eastAsia" w:ascii="仿宋" w:hAnsi="仿宋" w:eastAsia="仿宋" w:cs="仿宋"/>
          <w:kern w:val="0"/>
          <w:sz w:val="24"/>
          <w:szCs w:val="24"/>
          <w:highlight w:val="none"/>
          <w:u w:val="none"/>
          <w:lang w:val="en-US" w:eastAsia="zh-CN"/>
        </w:rPr>
        <w:t>日期：2021年12月26日，完工日期：2022年3月26日，总日历天数90天。</w:t>
      </w:r>
      <w:r>
        <w:rPr>
          <w:rFonts w:hint="eastAsia" w:ascii="仿宋" w:hAnsi="仿宋" w:eastAsia="仿宋" w:cs="仿宋"/>
          <w:kern w:val="0"/>
          <w:sz w:val="24"/>
          <w:szCs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：具有消防设施工程专业承包二级及以上证书。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：满足项目人员、设备、资金、工期等合同要求；提供详细施工人员名单。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项目负责人至少已完成过一项类似业绩。业绩需满足以下2个条件：①近3年已完成一项经验收合格的类似规模的消防工程，提供合同（原件扫描件），中标通知书（如有），备案证（原件扫描件）。②提供业主单位</w:t>
      </w:r>
      <w:r>
        <w:rPr>
          <w:rFonts w:hint="eastAsia" w:ascii="仿宋" w:hAnsi="仿宋" w:eastAsia="仿宋" w:cs="仿宋"/>
          <w:b w:val="0"/>
          <w:bCs w:val="0"/>
          <w:sz w:val="24"/>
          <w:szCs w:val="24"/>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2021年12月21日至2021年12月24日17:30止。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%，并提供</w:t>
      </w:r>
      <w:r>
        <w:rPr>
          <w:rFonts w:hint="eastAsia" w:ascii="仿宋" w:hAnsi="仿宋" w:eastAsia="仿宋" w:cs="仿宋"/>
          <w:sz w:val="24"/>
          <w:szCs w:val="24"/>
          <w:u w:val="single"/>
          <w:lang w:val="en-US" w:eastAsia="zh-CN"/>
        </w:rPr>
        <w:t xml:space="preserve"> 9 </w:t>
      </w:r>
      <w:r>
        <w:rPr>
          <w:rFonts w:hint="eastAsia" w:ascii="仿宋" w:hAnsi="仿宋" w:eastAsia="仿宋" w:cs="仿宋"/>
          <w:sz w:val="24"/>
          <w:szCs w:val="24"/>
          <w:u w:val="none"/>
          <w:lang w:val="en-US" w:eastAsia="zh-CN"/>
        </w:rPr>
        <w:t>%增值税专用发票。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2.本项目设置最低下浮比例M（20%），若报价下浮＜20%为无效报价。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7864"/>
      <w:bookmarkStart w:id="6" w:name="_Toc22180"/>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叁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博伟˙翡翠苑项目消防工程保证金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1.报名文件递交截止时间:2021年12月24日17时30分。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3.联系人：王思佳；联系电话：18207127323。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jc w:val="left"/>
        <w:rPr>
          <w:rFonts w:hint="eastAsia" w:ascii="方正小标宋_GBK" w:hAnsi="方正小标宋_GBK" w:eastAsia="仿宋" w:cs="方正小标宋_GBK"/>
          <w:b/>
          <w:bCs/>
          <w:sz w:val="32"/>
          <w:szCs w:val="32"/>
          <w:u w:val="none"/>
          <w:lang w:val="en-US" w:eastAsia="zh-CN"/>
        </w:rPr>
      </w:pPr>
      <w:bookmarkStart w:id="7" w:name="_Toc21973"/>
      <w:r>
        <w:rPr>
          <w:rFonts w:hint="eastAsia" w:ascii="方正小标宋_GBK" w:hAnsi="方正小标宋_GBK" w:eastAsia="仿宋" w:cs="方正小标宋_GBK"/>
          <w:b/>
          <w:bCs/>
          <w:kern w:val="2"/>
          <w:sz w:val="32"/>
          <w:szCs w:val="32"/>
          <w:u w:val="single"/>
          <w:lang w:val="en-US" w:eastAsia="zh-CN" w:bidi="ar-SA"/>
        </w:rPr>
        <w:t>博伟˙翡翠苑项目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消防</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7"/>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博伟˙翡翠苑项目消防工程</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lang w:val="en-US" w:eastAsia="zh-CN"/>
        </w:rPr>
        <w:t>博伟˙翡翠苑</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lang w:val="en-US" w:eastAsia="zh-CN"/>
        </w:rPr>
        <w:t xml:space="preserve">项目消防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工程名称：博伟.˙翡翠苑消防项目</w:t>
      </w:r>
    </w:p>
    <w:tbl>
      <w:tblPr>
        <w:tblStyle w:val="8"/>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备注：报价下浮比例不得低于20%，且后期不作任何调整。未按要求报价的视为无效报价。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7"/>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30813"/>
      <w:bookmarkStart w:id="12" w:name="_Toc15385"/>
      <w:bookmarkStart w:id="13" w:name="_Toc14147"/>
      <w:bookmarkStart w:id="14" w:name="_Toc22876"/>
      <w:bookmarkStart w:id="15" w:name="_Toc2509"/>
      <w:bookmarkStart w:id="16" w:name="_Toc23981"/>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7667"/>
      <w:bookmarkStart w:id="18" w:name="_Toc12822"/>
      <w:bookmarkStart w:id="19" w:name="_Toc31659"/>
      <w:bookmarkStart w:id="20" w:name="_Toc12749"/>
      <w:bookmarkStart w:id="21" w:name="_Toc31950"/>
      <w:bookmarkStart w:id="22" w:name="_Toc23445"/>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156"/>
      <w:bookmarkStart w:id="24" w:name="_Toc6331"/>
      <w:bookmarkStart w:id="25" w:name="_Toc9515"/>
      <w:bookmarkStart w:id="26" w:name="_Toc24950"/>
      <w:bookmarkStart w:id="27" w:name="_Toc23406"/>
      <w:bookmarkStart w:id="28" w:name="_Toc9234"/>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2403"/>
      <w:bookmarkStart w:id="30" w:name="_Toc16742"/>
      <w:bookmarkStart w:id="31" w:name="_Toc32221"/>
      <w:bookmarkStart w:id="32" w:name="_Toc15910"/>
      <w:bookmarkStart w:id="33" w:name="_Toc12086"/>
      <w:bookmarkStart w:id="34" w:name="_Toc114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7064"/>
      <w:bookmarkStart w:id="36" w:name="_Toc28379"/>
      <w:bookmarkStart w:id="37" w:name="_Toc1134"/>
      <w:bookmarkStart w:id="38" w:name="_Toc25921"/>
      <w:bookmarkStart w:id="39" w:name="_Toc29993"/>
      <w:bookmarkStart w:id="40" w:name="_Toc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7"/>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7"/>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博伟˙翡翠苑消防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spacing w:line="500" w:lineRule="exact"/>
        <w:ind w:firstLine="2811" w:firstLineChars="1000"/>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消防施工合同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博伟˙翡翠苑”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消防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博伟˙翡翠苑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消防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赤壁市赤壁大道与体育馆路交叉口西南侧。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施工图纸范围内消防工程全部施工内容及所有安全文明措施用工</w:t>
      </w:r>
      <w:r>
        <w:rPr>
          <w:rFonts w:hint="eastAsia" w:ascii="仿宋" w:hAnsi="仿宋" w:eastAsia="仿宋" w:cs="仿宋"/>
          <w:kern w:val="2"/>
          <w:sz w:val="24"/>
          <w:szCs w:val="24"/>
          <w:u w:val="single"/>
          <w:lang w:val="en-US" w:eastAsia="zh-CN" w:bidi="ar-SA"/>
        </w:rPr>
        <w:t>。</w:t>
      </w:r>
      <w:r>
        <w:rPr>
          <w:rFonts w:hint="eastAsia" w:ascii="仿宋" w:hAnsi="仿宋" w:eastAsia="仿宋" w:cs="仿宋"/>
          <w:sz w:val="24"/>
          <w:szCs w:val="24"/>
          <w:u w:val="single"/>
          <w:lang w:val="en-US" w:eastAsia="zh-CN"/>
        </w:rPr>
        <w:t>包含但不限于以下内容：</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工程量以最终审计报告工程量计算，以业主确认的工程量为上限。合同范围内未施工内容，按定额计算扣减合同总金额。前期甲方已完成工程量部分所产生的费用由乙方承担。</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1.5</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sz w:val="24"/>
          <w:szCs w:val="24"/>
          <w:u w:val="single"/>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w:t>
      </w:r>
      <w:r>
        <w:rPr>
          <w:rFonts w:hint="eastAsia" w:ascii="仿宋" w:hAnsi="仿宋" w:eastAsia="仿宋" w:cs="仿宋"/>
          <w:b w:val="0"/>
          <w:bCs/>
          <w:sz w:val="24"/>
          <w:szCs w:val="24"/>
          <w:u w:val="single"/>
        </w:rPr>
        <w:t>（2）</w:t>
      </w:r>
      <w:r>
        <w:rPr>
          <w:rFonts w:hint="eastAsia" w:ascii="仿宋" w:hAnsi="仿宋" w:eastAsia="仿宋" w:cs="仿宋"/>
          <w:sz w:val="24"/>
          <w:szCs w:val="24"/>
          <w:u w:val="single"/>
          <w:lang w:val="en-US" w:eastAsia="zh-CN"/>
        </w:rPr>
        <w:t>消防照明应急灯、疏散指示灯，管线预埋及灯具安装由消防专业负责；</w:t>
      </w:r>
      <w:r>
        <w:rPr>
          <w:rFonts w:hint="eastAsia" w:ascii="仿宋" w:hAnsi="仿宋" w:eastAsia="仿宋" w:cs="仿宋"/>
          <w:b w:val="0"/>
          <w:bCs/>
          <w:sz w:val="24"/>
          <w:szCs w:val="24"/>
          <w:u w:val="single"/>
        </w:rPr>
        <w:t>（3）</w:t>
      </w:r>
      <w:r>
        <w:rPr>
          <w:rFonts w:hint="eastAsia" w:ascii="仿宋" w:hAnsi="仿宋" w:eastAsia="仿宋" w:cs="仿宋"/>
          <w:b w:val="0"/>
          <w:bCs/>
          <w:sz w:val="24"/>
          <w:szCs w:val="24"/>
          <w:u w:val="single"/>
          <w:lang w:val="en-US" w:eastAsia="zh-CN"/>
        </w:rPr>
        <w:t>水电班组</w:t>
      </w:r>
      <w:r>
        <w:rPr>
          <w:rFonts w:hint="eastAsia" w:ascii="仿宋" w:hAnsi="仿宋" w:eastAsia="仿宋" w:cs="仿宋"/>
          <w:sz w:val="24"/>
          <w:szCs w:val="24"/>
          <w:u w:val="single"/>
          <w:lang w:val="en-US" w:eastAsia="zh-CN"/>
        </w:rPr>
        <w:t>给水干管就近施工至室外离外墙10m内阀门井内，室内排水干管就近接至室外离外墙10m内检查井内；</w:t>
      </w:r>
      <w:r>
        <w:rPr>
          <w:rFonts w:hint="eastAsia" w:ascii="仿宋" w:hAnsi="仿宋" w:eastAsia="仿宋" w:cs="仿宋"/>
          <w:b w:val="0"/>
          <w:bCs/>
          <w:sz w:val="24"/>
          <w:szCs w:val="24"/>
          <w:u w:val="single"/>
        </w:rPr>
        <w:t>（4）</w:t>
      </w:r>
      <w:r>
        <w:rPr>
          <w:rFonts w:hint="eastAsia" w:ascii="仿宋" w:hAnsi="仿宋" w:eastAsia="仿宋" w:cs="仿宋"/>
          <w:sz w:val="24"/>
          <w:szCs w:val="24"/>
          <w:u w:val="single"/>
          <w:lang w:val="en-US" w:eastAsia="zh-CN"/>
        </w:rPr>
        <w:t>消防水箱、消防水泵、排污泵等给排水管道设备安装由消防专业队伍负责；</w:t>
      </w:r>
      <w:r>
        <w:rPr>
          <w:rFonts w:hint="eastAsia" w:ascii="仿宋" w:hAnsi="仿宋" w:eastAsia="仿宋" w:cs="仿宋"/>
          <w:b w:val="0"/>
          <w:bCs/>
          <w:sz w:val="24"/>
          <w:szCs w:val="24"/>
          <w:u w:val="single"/>
        </w:rPr>
        <w:t>（5）</w:t>
      </w:r>
      <w:r>
        <w:rPr>
          <w:rFonts w:hint="eastAsia" w:ascii="仿宋" w:hAnsi="仿宋" w:eastAsia="仿宋" w:cs="仿宋"/>
          <w:sz w:val="24"/>
          <w:szCs w:val="24"/>
          <w:u w:val="single"/>
          <w:lang w:val="en-US" w:eastAsia="zh-CN"/>
        </w:rPr>
        <w:t>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以固定含税综合单价包干（包含但不限于：人工、主材、辅材、机械、现场文明施工、安全防护、临时设施、办公费、税金等本工程所含的全部费用）。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包质量、包安全、包文明施工、包人工、包主材、包辅材、包机械、包工期、包验收、包清扫、包税金等内容。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施工图纸范围内所有消防工程及所有安全文明措施用工。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lang w:val="en-US"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3.2质量要求</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3.2.1工程质量标准：</w:t>
      </w:r>
      <w:r>
        <w:rPr>
          <w:rFonts w:hint="eastAsia" w:ascii="仿宋" w:hAnsi="仿宋" w:eastAsia="仿宋" w:cs="仿宋"/>
          <w:sz w:val="24"/>
          <w:szCs w:val="24"/>
          <w:u w:val="single"/>
          <w:lang w:val="en-US" w:eastAsia="zh-CN"/>
        </w:rPr>
        <w:t>合格。必须达到一次交验合格，</w:t>
      </w:r>
      <w:r>
        <w:rPr>
          <w:rFonts w:hint="eastAsia" w:ascii="仿宋" w:hAnsi="仿宋" w:eastAsia="仿宋" w:cs="仿宋"/>
          <w:kern w:val="0"/>
          <w:sz w:val="24"/>
          <w:szCs w:val="24"/>
          <w:u w:val="single"/>
          <w:lang w:val="en-US" w:eastAsia="zh-CN" w:bidi="ar-SA"/>
        </w:rPr>
        <w:t>一次通过验收，符合国家工程质量验收标准。</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3.2.2乙方按照施工图纸和说明要求，精心组织施工，保证工程质量。如质量不合标准，必须返工，一切损失由乙方承担；如工程质量低劣又无法挽救的，由乙方负责赔偿全部损失。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3.2.3对甲方、建设单位、监理公司、国家职能管理部门提出不符合质量要求的地方，乙方必须立即整改并承担因此而发生的一切费用，工期不予顺延。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3.2.4必须服从甲方、建设单位、监理公司、国家职能管理部门的监督管理。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4.1合同总价:</w:t>
      </w:r>
      <w:r>
        <w:rPr>
          <w:rFonts w:hint="eastAsia" w:ascii="仿宋" w:hAnsi="仿宋" w:eastAsia="仿宋" w:cs="仿宋"/>
          <w:sz w:val="24"/>
          <w:szCs w:val="24"/>
          <w:u w:val="single"/>
          <w:lang w:val="en-US" w:eastAsia="zh-CN"/>
        </w:rPr>
        <w:t>为乙方承包范围的工程内容最终审计结算价下浮    %，且由乙方提供9%专票。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bCs/>
          <w:color w:val="FF0000"/>
          <w:sz w:val="24"/>
          <w:szCs w:val="24"/>
          <w:u w:val="single"/>
          <w:lang w:val="en-US" w:eastAsia="zh-CN"/>
        </w:rPr>
      </w:pPr>
      <w:r>
        <w:rPr>
          <w:rFonts w:hint="eastAsia" w:ascii="仿宋" w:hAnsi="仿宋" w:eastAsia="仿宋" w:cs="仿宋"/>
          <w:sz w:val="24"/>
          <w:szCs w:val="24"/>
          <w:lang w:val="en-US" w:eastAsia="zh-CN"/>
        </w:rPr>
        <w:t>4.2合同总价包括但不限于：</w:t>
      </w:r>
      <w:r>
        <w:rPr>
          <w:rFonts w:hint="eastAsia" w:ascii="仿宋" w:hAnsi="仿宋" w:eastAsia="仿宋" w:cs="仿宋"/>
          <w:b w:val="0"/>
          <w:bCs w:val="0"/>
          <w:color w:val="auto"/>
          <w:sz w:val="24"/>
          <w:szCs w:val="24"/>
          <w:u w:val="single"/>
          <w:lang w:val="en-US" w:eastAsia="zh-CN"/>
        </w:rPr>
        <w:t>人工费、主材费、辅材费、安全文明施工费、运转费、临时设施费、住宿费、交通费、办公费、机械费、就餐费、赶工补偿费、维护费、扬尘处理费、施工现场清洁费、规费、施工措施费、管理费、利润、税金等包干。无论任何情况，合同总价均不作调整。</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5.1工期：</w:t>
      </w:r>
      <w:r>
        <w:rPr>
          <w:rFonts w:hint="eastAsia" w:ascii="仿宋" w:hAnsi="仿宋" w:eastAsia="仿宋" w:cs="仿宋"/>
          <w:kern w:val="0"/>
          <w:sz w:val="24"/>
          <w:szCs w:val="24"/>
          <w:u w:val="none"/>
          <w:lang w:val="en-US" w:eastAsia="zh-CN"/>
        </w:rPr>
        <w:t>2021年12月26日—2022年3月26日，总日历天数90天。</w:t>
      </w:r>
      <w:r>
        <w:rPr>
          <w:rFonts w:hint="eastAsia" w:ascii="仿宋" w:hAnsi="仿宋" w:eastAsia="仿宋" w:cs="仿宋"/>
          <w:sz w:val="24"/>
          <w:szCs w:val="24"/>
          <w:lang w:val="en-US" w:eastAsia="zh-CN"/>
        </w:rPr>
        <w:t>必须满足项目进度要求，</w:t>
      </w:r>
      <w:r>
        <w:rPr>
          <w:rFonts w:hint="eastAsia" w:ascii="仿宋" w:hAnsi="仿宋" w:eastAsia="仿宋" w:cs="仿宋"/>
          <w:sz w:val="24"/>
          <w:szCs w:val="24"/>
        </w:rPr>
        <w:t>每逾期一</w:t>
      </w:r>
      <w:r>
        <w:rPr>
          <w:rFonts w:hint="eastAsia" w:ascii="仿宋" w:hAnsi="仿宋" w:eastAsia="仿宋" w:cs="仿宋"/>
          <w:sz w:val="24"/>
          <w:szCs w:val="24"/>
          <w:lang w:val="en-US" w:eastAsia="zh-CN"/>
        </w:rPr>
        <w:t>天</w:t>
      </w:r>
      <w:r>
        <w:rPr>
          <w:rFonts w:hint="eastAsia" w:ascii="仿宋" w:hAnsi="仿宋" w:eastAsia="仿宋" w:cs="仿宋"/>
          <w:sz w:val="24"/>
          <w:szCs w:val="24"/>
        </w:rPr>
        <w:t>，按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w:t>
      </w:r>
      <w:r>
        <w:rPr>
          <w:rFonts w:hint="eastAsia" w:ascii="仿宋" w:hAnsi="仿宋" w:eastAsia="仿宋" w:cs="仿宋"/>
          <w:sz w:val="24"/>
          <w:szCs w:val="24"/>
          <w:lang w:val="en-US" w:eastAsia="zh-CN"/>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5.2如遇下列情况，经甲乙双方代表签证，工期相应顺延。</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5.2.1因甲方原因，影响工程项目进度，如:未按时交出场地、甲方施工变更影响施工。</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5.2.2不可抗力的因素。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6.1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6.2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工程款的30%必须通过民工工资发放，以人脸识别系统考勤记录为依据，乙方不得截留。否则产生的一切经济及法律责任均由乙方承担，与甲方无关。</w:t>
      </w:r>
      <w:bookmarkStart w:id="46" w:name="_GoBack"/>
      <w:bookmarkEnd w:id="4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6.8</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.2负责现场的统一协调管理，协调</w:t>
      </w:r>
      <w:r>
        <w:rPr>
          <w:rFonts w:hint="eastAsia" w:ascii="仿宋" w:hAnsi="仿宋" w:eastAsia="仿宋" w:cs="仿宋"/>
          <w:sz w:val="24"/>
          <w:szCs w:val="24"/>
          <w:lang w:eastAsia="zh-CN"/>
        </w:rPr>
        <w:t>施工</w:t>
      </w:r>
      <w:r>
        <w:rPr>
          <w:rFonts w:hint="eastAsia" w:ascii="仿宋" w:hAnsi="仿宋" w:eastAsia="仿宋" w:cs="仿宋"/>
          <w:sz w:val="24"/>
          <w:szCs w:val="24"/>
        </w:rPr>
        <w:t>图纸问题的处理</w:t>
      </w:r>
      <w:r>
        <w:rPr>
          <w:rFonts w:hint="eastAsia" w:ascii="仿宋" w:hAnsi="仿宋" w:eastAsia="仿宋" w:cs="仿宋"/>
          <w:sz w:val="24"/>
          <w:szCs w:val="24"/>
          <w:lang w:eastAsia="zh-CN"/>
        </w:rPr>
        <w:t>，</w:t>
      </w:r>
      <w:r>
        <w:rPr>
          <w:rFonts w:hint="eastAsia" w:ascii="仿宋" w:hAnsi="仿宋" w:eastAsia="仿宋" w:cs="仿宋"/>
          <w:sz w:val="24"/>
          <w:szCs w:val="24"/>
        </w:rPr>
        <w:t>对</w:t>
      </w:r>
      <w:r>
        <w:rPr>
          <w:rFonts w:hint="eastAsia" w:ascii="仿宋" w:hAnsi="仿宋" w:eastAsia="仿宋" w:cs="仿宋"/>
          <w:sz w:val="24"/>
          <w:szCs w:val="24"/>
          <w:lang w:eastAsia="zh-CN"/>
        </w:rPr>
        <w:t>施工</w:t>
      </w:r>
      <w:r>
        <w:rPr>
          <w:rFonts w:hint="eastAsia" w:ascii="仿宋" w:hAnsi="仿宋" w:eastAsia="仿宋" w:cs="仿宋"/>
          <w:sz w:val="24"/>
          <w:szCs w:val="24"/>
        </w:rPr>
        <w:t>变更进行签证。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7.5甲方向乙方提供施工用水、用电接驳点,剩余事宜由乙方负责。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支付</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7.10甲方有权增减乙方的承包内容和工作量。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7.12监督乙方爱护工地设备，有权对乙方浪费材料、水电及破坏其他公共设施予以罚款。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7.15工程中途因甲方原因造成工程停建、缓建，甲乙双方应积极采取有效措施。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7.16若甲方认为乙方的施工进度不能满足工期要求时， 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如现场负责人不在现场时应明确其带班人员负责，否则每次罚款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sz w:val="24"/>
          <w:szCs w:val="24"/>
        </w:rPr>
        <w:t>如有特殊情况，应向项目经理请假，经批准后方可离开现场。若乙方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8.4进场前三天，乙方应向项目部提交施工组织方案，经项目部审核同意后进场。乙方施工必须遵守国家有关规范、条例以及项目部提供的施工图纸、工艺规范、质量标准、必须按图施工。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8.5乙方负责材料卸货、堆码、保管、场内运转、成品保护。因乙方保管、使用不善，造成现场材料丢失、损坏的，由乙方负责赔偿。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w:t>
      </w:r>
      <w:r>
        <w:rPr>
          <w:rFonts w:hint="eastAsia" w:ascii="仿宋" w:hAnsi="仿宋" w:eastAsia="仿宋" w:cs="仿宋"/>
          <w:sz w:val="24"/>
          <w:szCs w:val="24"/>
        </w:rPr>
        <w:t>乙方</w:t>
      </w:r>
      <w:r>
        <w:rPr>
          <w:rFonts w:hint="eastAsia" w:ascii="仿宋" w:hAnsi="仿宋" w:eastAsia="仿宋" w:cs="仿宋"/>
          <w:sz w:val="24"/>
          <w:szCs w:val="24"/>
          <w:lang w:val="en-US" w:eastAsia="zh-CN"/>
        </w:rPr>
        <w:t>负责材料整理成堆，未按要求落实的，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8.7乙方在施工前，应检查上一道工序是否满足施工条件。一旦进入施工，视为对上一道工序的质量认可，后期出现任何质量问题由乙方负责。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8.10乙方应做到文明工作，处理好与其他在建专业施工队伍的关系，同时遵守甲方现场施工的管理规定，保证施工场地的清洁卫生符合相关环境卫生管理的规定，做到逐层清理，工完场清。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8.11乙方如在施工过程中损坏甲方现场的其他工程成品或半成品，乙方应赔偿给甲方，甲方有权在工程款中扣除。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8.12乙方应及时与甲方沟通，根据施工进度，主动做好协调工作。施工过程中，如出现异议，应及时协商解决，不得擅自停工或借故拖延工期。因乙方原因造成停工或延误工期所造成的损失均由乙方承担。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8.13服从业主、总包方、监理的统一管理和现场的统一协调，做好与监理、总包方及其他交叉施工单位的配合工作。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8.14乙方进场前必须为施工人员购买商业险，并向甲方项目部提交复印件一份，未购买的由甲方代为购买，相关费用从工程款中扣除。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8.15乙方进场前须向甲方项目部提供企业资质证书及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8.16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8.17乙方在达到本合同约定的付款条件并经甲方确认后应向甲方发出付款通知及提供相关资料。若乙方未及时提供前述资料，甲方可相应顺延付款时间。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8.18保修期内发生的维修，由甲方书面通知或电话通知，乙方必须在8小时内答复并在24小时内赶赴现场处理。否则，甲方可以另请第三方处理，由此发生的费用从保修金中扣除并可以发生费用的两倍处罚乙方。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8.19乙方需配备足够的施工人员，服从项目管理，按项目部管理细则要求执行。若乙方施工人员不够，无法满足项目进度要求时，项目部可采取项目措施，另请人员进场施工。所产生的费用直接从工程款中扣除。</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8.20乙方现场所有人员必须着甲方统一工作服，佩戴安全帽，由乙方合同签订人在公司办理服装领用手续，押金100元/套，项目完工，按归还套数退押金。</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9.1乙方必须对所使用的进场人员进行安全教育并做好记录，做好各种安全防护措施，乙方所有人员的人身安全、工伤事故责任及处理均由乙方负责。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9.4乙方必须执行甲方的安全管理规定和关于安全生产的指令。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9.6乙方必须在人员上岗前进行三级安全教育，对人员逐一登记，填好安全教育日志。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10.3乙方在施工期间，严禁违章作业、野蛮施工以及打赤膊、穿拖鞋、骂人、扯皮打架等不文明行为。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10.4乙方在施工期间，严禁不戴安全帽、系安全绳、着统一工装。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10.5现场人员必须统一着工作服，佩戴安全帽，未按要求落实的，每人每次罚款200元。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10.6交工验收之前，做好一次全面清洁，并负责配合甲方做好各级验收工作。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11.1乙方严禁使用18岁以下未成年工，男年满60周岁、女年满55周岁以上的成年工和属于建筑安装行业禁忌作业的人员以及身份不明和畏罪潜逃的人员。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11.2乙方所使用的人员由乙方负责管理和教育，必须遵守国家的法律、法规、甲方的管理制度、现场管理要求。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11.4乙方进场前须向甲方项目部提供进场人员身份证，并录入人脸识别考勤系统。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11.5乙方现场所有人员每天上下班必须通过实名制通道。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11.6所有劳动工作者工资均采用实名制支付，实名制系统考勤记录作为发放工资的唯一依据。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11.7乙方负责统计劳动工作者用工情况，并制作工资发放表，由甲方负责代为发放。若发现乙方在此过程中造假，甲方有权对乙方处以造假金额两倍以上的罚款。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12.1乙方未按甲方安全生产要求、质量要求、现场文明施工要求、劳动者管理要求等内容进行落实的，甲方有权处以乙方最低200元/次的罚款。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12.2乙方未在甲方制定的工期要求完成的，每延迟一天，甲方有权处乙方每天</w:t>
      </w:r>
      <w:r>
        <w:rPr>
          <w:rFonts w:hint="eastAsia" w:ascii="仿宋" w:hAnsi="仿宋" w:eastAsia="仿宋" w:cs="仿宋"/>
          <w:sz w:val="24"/>
          <w:szCs w:val="24"/>
        </w:rPr>
        <w:t>按</w:t>
      </w:r>
      <w:r>
        <w:rPr>
          <w:rFonts w:hint="eastAsia" w:ascii="仿宋" w:hAnsi="仿宋" w:eastAsia="仿宋" w:cs="仿宋"/>
          <w:sz w:val="24"/>
          <w:szCs w:val="24"/>
          <w:lang w:val="en-US" w:eastAsia="zh-CN"/>
        </w:rPr>
        <w:t>工程预算</w:t>
      </w:r>
      <w:r>
        <w:rPr>
          <w:rFonts w:hint="eastAsia" w:ascii="仿宋" w:hAnsi="仿宋" w:eastAsia="仿宋" w:cs="仿宋"/>
          <w:sz w:val="24"/>
          <w:szCs w:val="24"/>
        </w:rPr>
        <w:t>总价款0.5‰</w:t>
      </w:r>
      <w:r>
        <w:rPr>
          <w:rFonts w:hint="eastAsia" w:ascii="仿宋" w:hAnsi="仿宋" w:eastAsia="仿宋" w:cs="仿宋"/>
          <w:sz w:val="24"/>
          <w:szCs w:val="24"/>
          <w:lang w:val="en-US" w:eastAsia="zh-CN"/>
        </w:rPr>
        <w:t>的罚款并追究由此造成的经济损失。如节点工期延误超5天的（自甲方向乙方发出告知函之日起计算），甲方有权辞退乙方，并按完成工程量的70%结算工程款。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12.3自进场开始，乙方必须严格按照甲方总体工期计划执行，按照甲方要求需要加班加点的，乙方要无条件服从。否则，罚款300元/次。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sz w:val="24"/>
          <w:szCs w:val="24"/>
          <w:lang w:val="en-US" w:eastAsia="zh-CN"/>
        </w:rPr>
        <w:t>12.4乙方在施工中如果中途退场，保证金不予退还，工程款结算乙方同意按照乙方班组所完成的工程量的70%进行结算，并承担所有违约责任。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sz w:val="24"/>
          <w:szCs w:val="24"/>
          <w:lang w:val="en-US" w:eastAsia="zh-CN"/>
        </w:rPr>
        <w:t>本工程履约保证金为人民币：</w:t>
      </w:r>
      <w:r>
        <w:rPr>
          <w:rFonts w:hint="eastAsia" w:ascii="仿宋" w:hAnsi="仿宋" w:eastAsia="仿宋" w:cs="仿宋"/>
          <w:b/>
          <w:bCs/>
          <w:sz w:val="24"/>
          <w:szCs w:val="24"/>
          <w:u w:val="single"/>
          <w:lang w:val="en-US" w:eastAsia="zh-CN"/>
        </w:rPr>
        <w:t xml:space="preserve"> 叁 </w:t>
      </w:r>
      <w:r>
        <w:rPr>
          <w:rFonts w:hint="eastAsia" w:ascii="仿宋" w:hAnsi="仿宋" w:eastAsia="仿宋" w:cs="仿宋"/>
          <w:b/>
          <w:bCs/>
          <w:sz w:val="24"/>
          <w:szCs w:val="24"/>
          <w:u w:val="none"/>
          <w:lang w:val="en-US" w:eastAsia="zh-CN"/>
        </w:rPr>
        <w:t>万</w:t>
      </w:r>
      <w:r>
        <w:rPr>
          <w:rFonts w:hint="eastAsia" w:ascii="仿宋" w:hAnsi="仿宋" w:eastAsia="仿宋" w:cs="仿宋"/>
          <w:b/>
          <w:bCs/>
          <w:sz w:val="24"/>
          <w:szCs w:val="24"/>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3个工作日内人员未进场；⑥未落实报名文件承诺书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主体封顶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工程预算</w:t>
      </w:r>
      <w:r>
        <w:rPr>
          <w:rFonts w:hint="eastAsia" w:ascii="仿宋" w:hAnsi="仿宋" w:eastAsia="仿宋" w:cs="仿宋"/>
          <w:sz w:val="24"/>
          <w:szCs w:val="24"/>
        </w:rPr>
        <w:t>总价款的0.5‰向甲方支付违约金。逾期超过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甲方有权单方解除合同清退乙方出场，乙方所做工程量经验收合格后按</w:t>
      </w:r>
      <w:r>
        <w:rPr>
          <w:rFonts w:hint="eastAsia" w:ascii="仿宋" w:hAnsi="仿宋" w:eastAsia="仿宋" w:cs="仿宋"/>
          <w:sz w:val="24"/>
          <w:szCs w:val="24"/>
        </w:rPr>
        <w:t>预算总价款的</w:t>
      </w:r>
      <w:r>
        <w:rPr>
          <w:rFonts w:hint="eastAsia" w:ascii="仿宋" w:hAnsi="仿宋" w:eastAsia="仿宋" w:cs="仿宋"/>
          <w:sz w:val="24"/>
          <w:szCs w:val="24"/>
          <w:lang w:val="en-US" w:eastAsia="zh-CN"/>
        </w:rPr>
        <w:t>70%支付(其余措施费不予结算)，造成的损失甲方直接在工程款中扣除。包括但不限于：乙方不能履行合同中质量、进度、安全要求时。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如因乙方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造成甲方工程质量问题的，视为乙方违约。甲方有权向乙方追究由此而产生的经济、法律责任。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15.1因解除而终止。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15.1.3合同一方依本合同其他条款约定行使解除权的，合同自解除通知送达之日起终止。违约方应当向另一方支付违约金或赔偿损失；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15.1.4合同终止后，不防碍一方向违约方追究违约责任。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15.2有下列情形之一的， 合同权利义务终止。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15.2.1本合同因已按约定履行完毕而自然终止；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15.2.2本合同经各方协商一致而终止；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15.2.3本合同因一方出现本合同约定的违约情形，另一方发出解除合同的通知；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15.2.4法律法规规定终止的其他情形。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十六、</w:t>
      </w:r>
      <w:r>
        <w:rPr>
          <w:rFonts w:hint="eastAsia" w:ascii="仿宋" w:hAnsi="仿宋" w:eastAsia="仿宋" w:cs="仿宋"/>
          <w:b/>
          <w:bCs/>
          <w:sz w:val="24"/>
          <w:szCs w:val="24"/>
        </w:rPr>
        <w:t>不可抗力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.1不可抗力包括因战争、动乱、空中飞行物体坠落或其他非甲方、乙方责任造成（如：政府因素、爆炸、火灾等）。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.3因不可抗力事件导致的费用及延误的工期由双方按以下方法分别承担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.4因合同一方迟延履行合同后发生不可抗力的，不能免除迟延履行方的相应责任。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十七、保密条款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一方违反上述约定导致合同其他方遭受损失或不利影响的，责任方应按</w:t>
      </w:r>
      <w:r>
        <w:rPr>
          <w:rFonts w:hint="eastAsia" w:ascii="仿宋" w:hAnsi="仿宋" w:eastAsia="仿宋" w:cs="仿宋"/>
          <w:sz w:val="24"/>
          <w:szCs w:val="24"/>
          <w:lang w:val="en-US" w:eastAsia="zh-CN"/>
        </w:rPr>
        <w:t>工程</w:t>
      </w:r>
      <w:r>
        <w:rPr>
          <w:rFonts w:hint="eastAsia" w:ascii="仿宋" w:hAnsi="仿宋" w:eastAsia="仿宋" w:cs="仿宋"/>
          <w:sz w:val="24"/>
          <w:szCs w:val="24"/>
        </w:rPr>
        <w:t>预算总价款的10%向合同其他方支付违约金，违约金不足以赔偿合同其他方损失的，应按合同其他方的实际损失赔偿。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楷体" w:hAnsi="楷体" w:eastAsia="楷体"/>
          <w:b/>
          <w:sz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19.1本合同未尽事宜，由甲乙双方友好协商，另签订补充协议。补充协议与本合同具同等法律效力。</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19.2</w:t>
      </w: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叁</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份，每份均具同等法律效力。</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19.3</w:t>
      </w:r>
      <w:r>
        <w:rPr>
          <w:rFonts w:hint="eastAsia" w:ascii="仿宋" w:hAnsi="仿宋" w:eastAsia="仿宋" w:cs="仿宋"/>
          <w:sz w:val="24"/>
        </w:rPr>
        <w:t>本合同自双方签字盖章后生效。</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19.4</w:t>
      </w:r>
      <w:r>
        <w:rPr>
          <w:rFonts w:hint="eastAsia" w:ascii="仿宋" w:hAnsi="仿宋" w:eastAsia="仿宋" w:cs="仿宋"/>
          <w:sz w:val="24"/>
        </w:rPr>
        <w:t>合同各方通讯地址变更的，应及时通知对方。</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19.5</w:t>
      </w:r>
      <w:r>
        <w:rPr>
          <w:rFonts w:hint="eastAsia" w:ascii="仿宋" w:hAnsi="仿宋" w:eastAsia="仿宋" w:cs="仿宋"/>
          <w:sz w:val="24"/>
        </w:rPr>
        <w:t>本合同附件与本合同具有同等法律效力。</w:t>
      </w:r>
    </w:p>
    <w:p>
      <w:pPr>
        <w:keepNext w:val="0"/>
        <w:keepLines w:val="0"/>
        <w:pageBreakBefore w:val="0"/>
        <w:widowControl w:val="0"/>
        <w:kinsoku/>
        <w:wordWrap/>
        <w:overflowPunct/>
        <w:topLinePunct w:val="0"/>
        <w:autoSpaceDE/>
        <w:autoSpaceDN/>
        <w:bidi w:val="0"/>
        <w:adjustRightInd/>
        <w:snapToGrid w:val="0"/>
        <w:spacing w:line="480" w:lineRule="exact"/>
        <w:ind w:firstLine="460" w:firstLineChars="192"/>
        <w:textAlignment w:val="auto"/>
        <w:rPr>
          <w:rFonts w:hint="eastAsia" w:ascii="仿宋" w:hAnsi="仿宋" w:eastAsia="仿宋" w:cs="仿宋"/>
          <w:sz w:val="24"/>
        </w:rPr>
      </w:pPr>
      <w:r>
        <w:rPr>
          <w:rFonts w:hint="eastAsia" w:ascii="仿宋" w:hAnsi="仿宋" w:eastAsia="仿宋" w:cs="仿宋"/>
          <w:sz w:val="24"/>
          <w:lang w:val="en-US" w:eastAsia="zh-CN"/>
        </w:rPr>
        <w:t>19.6</w:t>
      </w:r>
      <w:r>
        <w:rPr>
          <w:rFonts w:hint="eastAsia" w:ascii="仿宋" w:hAnsi="仿宋" w:eastAsia="仿宋" w:cs="仿宋"/>
          <w:sz w:val="24"/>
        </w:rPr>
        <w:t>其它约定：</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附件1《廉洁协议》作为本合同的附件，与本合同具有同等法律效力。</w:t>
      </w:r>
      <w:r>
        <w:rPr>
          <w:rFonts w:hint="eastAsia" w:ascii="仿宋" w:hAnsi="仿宋" w:eastAsia="仿宋" w:cs="仿宋"/>
          <w:sz w:val="24"/>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default"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sz w:val="24"/>
          <w:szCs w:val="24"/>
          <w:u w:val="none"/>
          <w:vertAlign w:val="baseline"/>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pacing w:val="8"/>
          <w:sz w:val="24"/>
          <w:szCs w:val="24"/>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消防施工合同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rPr>
          <w:rFonts w:hint="eastAsia" w:ascii="仿宋" w:hAnsi="仿宋" w:eastAsia="仿宋" w:cs="仿宋"/>
          <w:sz w:val="24"/>
          <w:lang w:eastAsia="zh-CN"/>
        </w:rPr>
      </w:pPr>
    </w:p>
    <w:p>
      <w:pPr>
        <w:pStyle w:val="3"/>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r>
        <w:rPr>
          <w:rFonts w:hint="eastAsia" w:ascii="仿宋" w:hAnsi="仿宋" w:eastAsia="仿宋" w:cs="仿宋"/>
          <w:color w:val="FFFFFF"/>
          <w:sz w:val="24"/>
          <w:szCs w:val="24"/>
        </w:rPr>
        <w:t>的光临，Word文谢！希望</w:t>
      </w:r>
    </w:p>
    <w:p>
      <w:pPr>
        <w:pStyle w:val="2"/>
        <w:rPr>
          <w:rFonts w:hint="eastAsia" w:ascii="仿宋" w:hAnsi="仿宋" w:eastAsia="仿宋" w:cs="仿宋"/>
          <w:sz w:val="30"/>
          <w:szCs w:val="30"/>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53A0CC-8E33-4570-9430-776C4453E661}"/>
  </w:font>
  <w:font w:name="楷体_GB2312">
    <w:altName w:val="楷体"/>
    <w:panose1 w:val="02010609030101010101"/>
    <w:charset w:val="86"/>
    <w:family w:val="modern"/>
    <w:pitch w:val="default"/>
    <w:sig w:usb0="00000000" w:usb1="00000000" w:usb2="00000010" w:usb3="00000000" w:csb0="00040000" w:csb1="00000000"/>
    <w:embedRegular r:id="rId2" w:fontKey="{C284C11D-23B8-494C-9129-9DC5019AEF91}"/>
  </w:font>
  <w:font w:name="楷体">
    <w:panose1 w:val="02010609060101010101"/>
    <w:charset w:val="86"/>
    <w:family w:val="auto"/>
    <w:pitch w:val="default"/>
    <w:sig w:usb0="800002BF" w:usb1="38CF7CFA" w:usb2="00000016" w:usb3="00000000" w:csb0="00040001" w:csb1="00000000"/>
    <w:embedRegular r:id="rId3" w:fontKey="{F2BDCFE5-F1EE-42A9-9EB2-C24E923FB086}"/>
  </w:font>
  <w:font w:name="仿宋">
    <w:panose1 w:val="02010609060101010101"/>
    <w:charset w:val="86"/>
    <w:family w:val="modern"/>
    <w:pitch w:val="default"/>
    <w:sig w:usb0="800002BF" w:usb1="38CF7CFA" w:usb2="00000016" w:usb3="00000000" w:csb0="00040001" w:csb1="00000000"/>
    <w:embedRegular r:id="rId4" w:fontKey="{A6368B6E-1F96-4A21-A5F3-AC42C9175B7F}"/>
  </w:font>
  <w:font w:name="方正小标宋_GBK">
    <w:panose1 w:val="02000000000000000000"/>
    <w:charset w:val="86"/>
    <w:family w:val="auto"/>
    <w:pitch w:val="default"/>
    <w:sig w:usb0="A00002BF" w:usb1="38CF7CFA" w:usb2="00082016" w:usb3="00000000" w:csb0="00040001" w:csb1="00000000"/>
    <w:embedRegular r:id="rId5" w:fontKey="{5156AB5D-3EA6-40BD-9037-E7EC31518FE2}"/>
  </w:font>
  <w:font w:name="仿宋_GB2312">
    <w:altName w:val="仿宋"/>
    <w:panose1 w:val="02010609030101010101"/>
    <w:charset w:val="86"/>
    <w:family w:val="modern"/>
    <w:pitch w:val="default"/>
    <w:sig w:usb0="00000000" w:usb1="00000000" w:usb2="00000000" w:usb3="00000000" w:csb0="00040000" w:csb1="00000000"/>
    <w:embedRegular r:id="rId6" w:fontKey="{6EF46661-725D-4BEA-946D-ACE17938F994}"/>
  </w:font>
  <w:font w:name="微软雅黑">
    <w:panose1 w:val="020B0503020204020204"/>
    <w:charset w:val="86"/>
    <w:family w:val="swiss"/>
    <w:pitch w:val="default"/>
    <w:sig w:usb0="80000287" w:usb1="2ACF3C50" w:usb2="00000016" w:usb3="00000000" w:csb0="0004001F" w:csb1="00000000"/>
    <w:embedRegular r:id="rId7" w:fontKey="{AF621D9D-89E1-4476-80CD-BBEAD3B159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92024"/>
    <w:rsid w:val="03100197"/>
    <w:rsid w:val="039D17D2"/>
    <w:rsid w:val="15456FE5"/>
    <w:rsid w:val="16161D88"/>
    <w:rsid w:val="1CA40A88"/>
    <w:rsid w:val="1D192024"/>
    <w:rsid w:val="1F2C6073"/>
    <w:rsid w:val="23E53C5E"/>
    <w:rsid w:val="28687B8A"/>
    <w:rsid w:val="2CE85E16"/>
    <w:rsid w:val="345D5BB2"/>
    <w:rsid w:val="36814250"/>
    <w:rsid w:val="40D25EF6"/>
    <w:rsid w:val="46946825"/>
    <w:rsid w:val="4B9007C4"/>
    <w:rsid w:val="6796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List"/>
    <w:basedOn w:val="1"/>
    <w:qFormat/>
    <w:uiPriority w:val="0"/>
    <w:pPr>
      <w:ind w:left="420" w:hanging="420"/>
    </w:pPr>
    <w:rPr>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dcterms:modified xsi:type="dcterms:W3CDTF">2021-12-21T02:15:51Z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93ADC65409AD44229D806FA3868FDA57</vt:lpwstr>
  </property>
</Properties>
</file>